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20" w:before="0" w:line="373.5849056603774" w:lineRule="auto"/>
        <w:ind w:left="-240" w:right="-24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l8svo9beaagz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3. Información Económica Financiera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Información presupuestaria y contable. Cuentas anuales.</w:t>
      </w:r>
    </w:p>
    <w:tbl>
      <w:tblPr>
        <w:tblStyle w:val="Table1"/>
        <w:tblW w:w="9025.511811023624" w:type="dxa"/>
        <w:jc w:val="left"/>
        <w:tblBorders>
          <w:top w:color="ececec" w:space="0" w:sz="6" w:val="single"/>
          <w:left w:color="000000" w:space="0" w:sz="0" w:val="nil"/>
          <w:bottom w:color="000000" w:space="0" w:sz="0" w:val="nil"/>
          <w:right w:color="000000" w:space="0" w:sz="0" w:val="nil"/>
          <w:insideH w:color="ececec" w:space="0" w:sz="6" w:val="single"/>
          <w:insideV w:color="000000" w:space="0" w:sz="0" w:val="nil"/>
        </w:tblBorders>
        <w:tblLayout w:type="fixed"/>
        <w:tblLook w:val="0600"/>
      </w:tblPr>
      <w:tblGrid>
        <w:gridCol w:w="3993.867595818816"/>
        <w:gridCol w:w="2742.24609728662"/>
        <w:gridCol w:w="2289.3981179181874"/>
        <w:tblGridChange w:id="0">
          <w:tblGrid>
            <w:gridCol w:w="3993.867595818816"/>
            <w:gridCol w:w="2742.24609728662"/>
            <w:gridCol w:w="2289.3981179181874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ececec" w:space="0" w:sz="6" w:val="single"/>
              <w:bottom w:color="ececec" w:space="0" w:sz="6" w:val="single"/>
              <w:right w:color="ececec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 Informe abreviado cuentas anuales 2024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 Balance de situación 2024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Cuentas de pérdidas y ganancias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ececec" w:space="0" w:sz="6" w:val="single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 Informe abreviado cuentas anuales 2023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Balance de situación 2023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Cuentas de pérdidas y ganancias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ececec" w:space="0" w:sz="6" w:val="single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Informe abreviado cuentas anuales 2022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3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Balance de situación 2022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Cuentas de pérdidas y ganancias 2022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ececec" w:space="0" w:sz="6" w:val="single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5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Informe abreviado cuentas anuales 2021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6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Balance de situación 2021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Cuentas de pérdidas y ganancias 2021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ececec" w:space="0" w:sz="6" w:val="single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8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Informe abreviado cuentas anuales 2020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Balance de situación 2020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6" w:val="single"/>
              <w:right w:color="ececec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340" w:line="540" w:lineRule="auto"/>
              <w:ind w:left="-240" w:right="-240" w:firstLine="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1"/>
                <w:szCs w:val="21"/>
                <w:rtl w:val="0"/>
              </w:rPr>
              <w:t xml:space="preserve"> </w:t>
            </w: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Cuentas de pérdidas y ganancias 2020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0" w:line="373.5849056603774" w:lineRule="auto"/>
        <w:ind w:left="-240" w:right="-24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3gat6ki01wsj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Retribución percibida anualmente por cada administrador y directivo de la entidad.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40" w:lineRule="auto"/>
        <w:ind w:left="-240" w:right="-240" w:firstLine="0"/>
        <w:jc w:val="both"/>
        <w:rPr>
          <w:rFonts w:ascii="Montserrat" w:cs="Montserrat" w:eastAsia="Montserrat" w:hAnsi="Montserrat"/>
          <w:color w:val="d73225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Los miembros del Consejo Rector y de los Equipos Directivos no recibieron retribución alguna por el desempeño de sus funciones durante el ejercicio 2024.</w:t>
        <w:br w:type="textWrapping"/>
        <w:t xml:space="preserve">De forma global, está recogido en las cuentas de pérdidas y ganancias : </w:t>
      </w:r>
      <w:hyperlink r:id="rId21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https://www.webeac.org/wp-content/uploads/2025/12/Cta.Perdidas-y-Ganancias-2024.pdf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color w:val="d73225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d73225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color w:val="d73225"/>
          <w:sz w:val="24"/>
          <w:szCs w:val="24"/>
          <w:rtl w:val="0"/>
        </w:rPr>
        <w:t xml:space="preserve">                                  </w:t>
      </w:r>
      <w:r w:rsidDel="00000000" w:rsidR="00000000" w:rsidRPr="00000000">
        <w:rPr>
          <w:rFonts w:ascii="Montserrat" w:cs="Montserrat" w:eastAsia="Montserrat" w:hAnsi="Montserrat"/>
          <w:color w:val="d73225"/>
          <w:sz w:val="24"/>
          <w:szCs w:val="24"/>
        </w:rPr>
        <w:drawing>
          <wp:inline distB="114300" distT="114300" distL="114300" distR="114300">
            <wp:extent cx="2286000" cy="9525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webeac.org/wp-content/uploads/2014/10/CUENTA-DE-PERDIDAS-Y-GANANCIAS-Diciembre-2020-Diciembre-2019-ESCUELA-DE-ACTORES-DE-CANARIAS-S.COOP_..pdf" TargetMode="External"/><Relationship Id="rId11" Type="http://schemas.openxmlformats.org/officeDocument/2006/relationships/hyperlink" Target="https://www.webeac.org/wp-content/uploads/2025/12/CUENTA-DE-PERDIDAS-Y-GANANCIAS-Diciembre-2023-EAC-ESCUELA-DE-ACTORES-DE-CANARIAS-S.COOP_.pdf" TargetMode="External"/><Relationship Id="rId22" Type="http://schemas.openxmlformats.org/officeDocument/2006/relationships/image" Target="media/image2.png"/><Relationship Id="rId10" Type="http://schemas.openxmlformats.org/officeDocument/2006/relationships/hyperlink" Target="https://www.webeac.org/wp-content/uploads/2025/12/BALANCE-SITUACION-Diciembre-2023-EAC-ESCUELA-DE-ACTORES-DE-CANARIAS-S.COOP_.-1.pdf" TargetMode="External"/><Relationship Id="rId21" Type="http://schemas.openxmlformats.org/officeDocument/2006/relationships/hyperlink" Target="https://www.webeac.org/wp-content/uploads/2025/12/Cta.Perdidas-y-Ganancias-2024.pdf" TargetMode="External"/><Relationship Id="rId13" Type="http://schemas.openxmlformats.org/officeDocument/2006/relationships/hyperlink" Target="https://www.webeac.org/wp-content/uploads/2014/10/BALANCE-SITUACION-a%C3%B1o-2022-E.A.C..pdf" TargetMode="External"/><Relationship Id="rId12" Type="http://schemas.openxmlformats.org/officeDocument/2006/relationships/hyperlink" Target="https://www.webeac.org/wp-content/uploads/2014/10/Memoria-Abreviada-Ejercicio-2022.pdf" TargetMode="External"/><Relationship Id="rId23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ebeac.org/wp-content/uploads/2025/12/Informe-abreviado-cuentas-anuales-2023-Firmada.pdf" TargetMode="External"/><Relationship Id="rId15" Type="http://schemas.openxmlformats.org/officeDocument/2006/relationships/hyperlink" Target="https://www.webeac.org/wp-content/uploads/2014/10/MEMORIA-ABREVIADA-FIRMADA.pdf" TargetMode="External"/><Relationship Id="rId14" Type="http://schemas.openxmlformats.org/officeDocument/2006/relationships/hyperlink" Target="https://www.webeac.org/wp-content/uploads/2024/05/CTA.-PERDIDAS-Y-GANANCIAS-Dic22-Dic21-E.A.C.pdf" TargetMode="External"/><Relationship Id="rId17" Type="http://schemas.openxmlformats.org/officeDocument/2006/relationships/hyperlink" Target="https://www.webeac.org/wp-content/uploads/2014/10/Cuenta-de-p%C3%A9rdidas-y-ganancias-legalizado_2021.pdf" TargetMode="External"/><Relationship Id="rId16" Type="http://schemas.openxmlformats.org/officeDocument/2006/relationships/hyperlink" Target="https://www.webeac.org/wp-content/uploads/2014/10/Balance-legalizado_2021.pdf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webeac.org/wp-content/uploads/2014/10/BALANCE-SITUACION-Diciembre-2020-Diciembre-2019-ESCUELA-DE-ACTORES-DE-CANARIAS-S.COOP_..pdf" TargetMode="External"/><Relationship Id="rId6" Type="http://schemas.openxmlformats.org/officeDocument/2006/relationships/hyperlink" Target="https://www.webeac.org/wp-content/uploads/2025/12/Informe-abreviado-cuentas-anuales-2024.pdf" TargetMode="External"/><Relationship Id="rId18" Type="http://schemas.openxmlformats.org/officeDocument/2006/relationships/hyperlink" Target="https://www.webeac.org/wp-content/uploads/2014/10/MEMORIA-ANUAL-ESCUELA-DE-ACTORES-DE-CANARIAS-S.-COOP.-2020.pdf" TargetMode="External"/><Relationship Id="rId7" Type="http://schemas.openxmlformats.org/officeDocument/2006/relationships/hyperlink" Target="https://www.webeac.org/wp-content/uploads/2025/12/Balance-Situacion-2024.pdf" TargetMode="External"/><Relationship Id="rId8" Type="http://schemas.openxmlformats.org/officeDocument/2006/relationships/hyperlink" Target="https://www.webeac.org/wp-content/uploads/2025/12/Cta.Perdidas-y-Ganancias-2024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