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700" w:before="0" w:line="373.5849056603774" w:lineRule="auto"/>
        <w:ind w:left="-240" w:right="-240" w:firstLine="0"/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</w:rPr>
      </w:pPr>
      <w:bookmarkStart w:colFirst="0" w:colLast="0" w:name="_3s9hczipnhlc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53"/>
          <w:szCs w:val="53"/>
          <w:rtl w:val="0"/>
        </w:rPr>
        <w:t xml:space="preserve">1. Información Institucional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700" w:before="0" w:line="480" w:lineRule="auto"/>
        <w:ind w:left="-240" w:right="-240" w:firstLine="0"/>
        <w:jc w:val="center"/>
        <w:rPr>
          <w:rFonts w:ascii="Montserrat" w:cs="Montserrat" w:eastAsia="Montserrat" w:hAnsi="Montserrat"/>
          <w:b w:val="1"/>
          <w:bCs w:val="1"/>
          <w:color w:val="000000"/>
          <w:sz w:val="30"/>
          <w:szCs w:val="30"/>
        </w:rPr>
      </w:pPr>
      <w:bookmarkStart w:colFirst="0" w:colLast="0" w:name="_8p7jwkt43rnq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30"/>
          <w:szCs w:val="30"/>
          <w:rtl w:val="0"/>
        </w:rPr>
        <w:t xml:space="preserve">a) Normativa aplicable y acceso a la información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 transparencia además de dotar a la ciudadanía de un sistema de control, conocimiento y vigilancia sobre la actividad de las administraciones públicas y sus entes dependientes facilita la participación cotidiana de los ciudadanos en las cuestiones de interés general, pilar básico de nuestro bloque de constitucionalidad, artículos 9.2 y 23.1 de la Constitución Española, y de normas internacionales de obligada referencia en este ámbito como la Declaración Universal de Derechos Humanos, artículo 21.1, el pacto Internacional de Derechos Civiles y Políticos, artículo 25.a o la Carta de los Derechos Fundamentales de la Unión Europea.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Escuela de Actores de Canarias S. Coop., (EAC) estructura su información en su portal de Transparencia teniendo como referencia la </w:t>
      </w:r>
      <w:hyperlink r:id="rId6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12/2014, de 26 de diciembre, de transparencia y de acceso a la información pública (BOC 5, de 9.1.2015)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 </w:t>
      </w:r>
      <w:hyperlink r:id="rId7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Estatal de transparencia, acceso a la información pública y buen gobierno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y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Web del comisionado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5969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NORMATIVA RELACIONADA: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hyperlink r:id="rId10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19/2013, de 9 de diciembre, de transparencia, acceso a la información pública y buen gobierno.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hyperlink r:id="rId11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2/2023, de 20 de febrero, reguladora de la protección de las personas que informen sobre infracciones normativas y de lucha contra la corrupción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hyperlink r:id="rId12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Orgánica 3/2018, de 5 de diciembre, de protección de datos personales y garantía de los derechos personales.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hyperlink r:id="rId13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12/2014, de 26 de diciembre, de transparencia y de acceso a la información pública. (Normativa autonómica).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160" w:lineRule="auto"/>
        <w:ind w:left="940" w:right="-240" w:hanging="360"/>
      </w:pPr>
      <w:hyperlink r:id="rId14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Real Decreto 1112/2018, de 7 de septiembre, sobre accesibilidad de los sitios web y aplicaciones para dispositivos móviles del sector público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OTRA NORMATIVA APLICABLE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hyperlink r:id="rId15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27/1999, de 16 de julio, de Cooperativas – BOE.es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160" w:lineRule="auto"/>
        <w:ind w:left="940" w:right="-240" w:hanging="360"/>
      </w:pPr>
      <w:hyperlink r:id="rId16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Ley Orgánica 2/2006, de 3 de mayo, de Educación. – BOE.es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 EAC ha aprobado un </w:t>
      </w:r>
      <w:hyperlink r:id="rId17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d73225"/>
            <w:sz w:val="24"/>
            <w:szCs w:val="24"/>
            <w:rtl w:val="0"/>
          </w:rPr>
          <w:t xml:space="preserve">Protocolo de Transparencia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que recoge el compromiso de que el acceso a la información estará siempre disponible y actualizado, en la medida de lo posible. Además cualquier persona puede ejercitar su derecho a solicitar documentación adicional, tal y como establece la normativa. Para ello, se han habilitado los siguientes canales: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Preferentemente a través de medios electrónicos, utilizando el </w:t>
      </w:r>
      <w:hyperlink r:id="rId18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formulario de contacto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habilitado en nuestra página web.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Mediante correo electrónico dirigido a </w:t>
      </w:r>
      <w:r w:rsidDel="00000000" w:rsidR="00000000" w:rsidRPr="00000000">
        <w:rPr>
          <w:rFonts w:ascii="Montserrat" w:cs="Montserrat" w:eastAsia="Montserrat" w:hAnsi="Montserrat"/>
          <w:color w:val="d73225"/>
          <w:sz w:val="24"/>
          <w:szCs w:val="24"/>
          <w:rtl w:val="0"/>
        </w:rPr>
        <w:t xml:space="preserve">info@webeac.org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 forma presencial o a través de correo postal, en nuestras secretarías ubicadas en:</w:t>
        <w:br w:type="textWrapping"/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Sede Tenerife</w:t>
        <w:br w:type="textWrapping"/>
      </w:r>
      <w:hyperlink r:id="rId19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C/ Pedro Suárez Hernández, s/n  </w:t>
        </w:r>
      </w:hyperlink>
      <w:hyperlink r:id="rId20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d73225"/>
            <w:sz w:val="24"/>
            <w:szCs w:val="24"/>
            <w:rtl w:val="0"/>
          </w:rPr>
          <w:t xml:space="preserve">(Tranvia Conservatorio)</w:t>
        </w:r>
      </w:hyperlink>
      <w:hyperlink r:id="rId21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.  38009 – S/C de Tenerife.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16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Sede Gran Canaria</w:t>
        <w:br w:type="textWrapping"/>
      </w:r>
      <w:hyperlink r:id="rId22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C/ Ataulfo Argenta. 34/26 – La Paterna, 35013 – Las Palmas de Gran Canaria.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70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 recuerda que con el fin de poder tramitar correctamente su solicitud, deberá cumplir los siguientes requisitos, tal y como establece el art.41 de la Ley 12/2014: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 identidad de la persona solicitante, adjuntando copia de su DNI/NIE.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 información que se solicita.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 dirección de contacto, preferentemente electrónica, a efectos de las comunicaciones a propósito de su solicitud.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70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En su caso, la modalidad preferida de acceso a la información solicitada.</w:t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700" w:before="0" w:line="480" w:lineRule="auto"/>
        <w:ind w:left="-240" w:right="-240" w:firstLine="0"/>
        <w:jc w:val="center"/>
        <w:rPr>
          <w:rFonts w:ascii="Montserrat" w:cs="Montserrat" w:eastAsia="Montserrat" w:hAnsi="Montserrat"/>
          <w:b w:val="1"/>
          <w:bCs w:val="1"/>
          <w:color w:val="000000"/>
          <w:sz w:val="30"/>
          <w:szCs w:val="30"/>
        </w:rPr>
      </w:pPr>
      <w:bookmarkStart w:colFirst="0" w:colLast="0" w:name="_6a1pcg7bsxe3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30"/>
          <w:szCs w:val="30"/>
          <w:rtl w:val="0"/>
        </w:rPr>
        <w:t xml:space="preserve">b) Información relativa a las funciones que desarrolla la entidad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340" w:lineRule="auto"/>
        <w:ind w:left="-240" w:right="-240" w:firstLine="0"/>
        <w:rPr>
          <w:rFonts w:ascii="Montserrat" w:cs="Montserrat" w:eastAsia="Montserrat" w:hAnsi="Montserrat"/>
          <w:color w:val="d73225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ESCUELA DE ACTORES DE CANARIAS es una Sociedad Cooperativa de Trabajo Asociado de Enseñanza que se rige por sus propios </w:t>
      </w:r>
      <w:hyperlink r:id="rId23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Estatutos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y la normativa mencionada anteriormente. Actualmente es responsable por autorización de la Consejería de Educación Cultura y Deportes del Gobierno de Canarias  (</w:t>
      </w:r>
      <w:hyperlink r:id="rId24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http://www.gobiernodecanarias.org/boc/1997/015/005.html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) de la gestión y funcionamiento del Centro Autorizado Superior de Arte Dramático Escuela de Actores de Canarias (CASAD-EAC) para impartir los Estudios Superiores de Arte Dramático en la especialidad de Interpretación y Dirección Escénica y Dramaturgia en sus sedes de Tenerife y Gran Canaria. </w:t>
      </w:r>
      <w:hyperlink r:id="rId25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(Historia de la EAC)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ececec" w:space="0" w:sz="6" w:val="single"/>
          <w:left w:color="000000" w:space="0" w:sz="0" w:val="nil"/>
          <w:bottom w:color="000000" w:space="0" w:sz="0" w:val="nil"/>
          <w:right w:color="000000" w:space="0" w:sz="0" w:val="nil"/>
          <w:insideH w:color="ececec" w:space="0" w:sz="6" w:val="single"/>
          <w:insideV w:color="000000" w:space="0" w:sz="0" w:val="nil"/>
        </w:tblBorders>
        <w:tblLayout w:type="fixed"/>
        <w:tblLook w:val="0600"/>
      </w:tblPr>
      <w:tblGrid>
        <w:gridCol w:w="2250.5475187694565"/>
        <w:gridCol w:w="2262.2083867423553"/>
        <w:gridCol w:w="2262.2083867423553"/>
        <w:gridCol w:w="2250.5475187694565"/>
        <w:tblGridChange w:id="0">
          <w:tblGrid>
            <w:gridCol w:w="2250.5475187694565"/>
            <w:gridCol w:w="2262.2083867423553"/>
            <w:gridCol w:w="2262.2083867423553"/>
            <w:gridCol w:w="2250.5475187694565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eed5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640" w:line="540" w:lineRule="auto"/>
              <w:ind w:left="-240" w:righ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26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Memoria anual de Centro 2024/25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640" w:line="540" w:lineRule="auto"/>
              <w:ind w:left="-240" w:righ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27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Memoria anual de Centro 2023/24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640" w:line="540" w:lineRule="auto"/>
              <w:ind w:left="-240" w:righ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28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Memoria anual de Centro 2022/23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f5f3ed" w:val="clear"/>
            <w:tcMar>
              <w:top w:w="160.0" w:type="dxa"/>
              <w:left w:w="160.0" w:type="dxa"/>
              <w:bottom w:w="16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640" w:line="540" w:lineRule="auto"/>
              <w:ind w:left="-240" w:right="-240" w:firstLine="0"/>
              <w:jc w:val="center"/>
              <w:rPr>
                <w:rFonts w:ascii="Montserrat" w:cs="Montserrat" w:eastAsia="Montserrat" w:hAnsi="Montserrat"/>
                <w:sz w:val="24"/>
                <w:szCs w:val="24"/>
              </w:rPr>
            </w:pPr>
            <w:hyperlink r:id="rId29">
              <w:r w:rsidDel="00000000" w:rsidR="00000000" w:rsidRPr="00000000">
                <w:rPr>
                  <w:rFonts w:ascii="Montserrat" w:cs="Montserrat" w:eastAsia="Montserrat" w:hAnsi="Montserrat"/>
                  <w:color w:val="d73225"/>
                  <w:sz w:val="21"/>
                  <w:szCs w:val="21"/>
                  <w:rtl w:val="0"/>
                </w:rPr>
                <w:t xml:space="preserve">Memoria anual de Centro 2021/22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34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Las actividades a desarrollar por la Cooperativa, para el cumplimiento de su objeto social irán encaminadas a desarrollar actividades docentes relacionadas con el teatro y las artes escénicas y audiovisuales en sus distintos niveles y modalidades.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18" w:sz="0" w:val="none"/>
          <w:right w:color="auto" w:space="0" w:sz="0" w:val="none"/>
        </w:pBdr>
        <w:shd w:fill="ffffff" w:val="clear"/>
        <w:spacing w:after="34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Estas son: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Creación y potenciación de un núcleo de profesionales especializados en organizar e impartir el currículo de los Estudios Superiores de Arte Dramático en cualquiera de sus especialidades, absorbiendo la experiencia que integra la Escuela de Actores de Canarias, fundada en 1.975.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Producción estable de espectáculos teatrales, también para cine y televisión.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Alquiler y/o adquisición de solares y edificios para las instalaciones que alberguen las actividades de la empresa cooperativa, especialmente en lo referente a locales de enseñanza, preparación y exhibición.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Adquisición de maquinarias, enseres, materiales, vehículos destinados al transporte el material o de personas, y demás elementos necesarios para el funcionamiento específico de esta cooperativa.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Distribución teatral de las producciones de la cooperativa, así como distribución de cualquier otra producción material que en su momento sea contratada a tal efecto adquiriendo los oportunos derechos.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Creación de salas de exhibición teatrales.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Edición de dossier y publicación de revistas especializadas en el campo de las artes escénicas, así como impresión de hojillas de divulgación sobre los cursos y espectáculos programados o producidos por la cooperativa.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Establecer otros centros o delegaciones de enseñanza en islas y municipios aparte de las ya establecidas.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00" w:lineRule="auto"/>
        <w:ind w:left="940" w:right="-240" w:hanging="360"/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Cualquier otro de los fines propios de esta clase de Cooperativa.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4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El ámbito territorial en el cual la Cooperativa desarrolla su actividad es el correspondiente a la Comunidad de Autónoma de Canarias. (</w:t>
      </w:r>
      <w:hyperlink r:id="rId30">
        <w:r w:rsidDel="00000000" w:rsidR="00000000" w:rsidRPr="00000000">
          <w:rPr>
            <w:rFonts w:ascii="Montserrat" w:cs="Montserrat" w:eastAsia="Montserrat" w:hAnsi="Montserrat"/>
            <w:color w:val="d73225"/>
            <w:sz w:val="24"/>
            <w:szCs w:val="24"/>
            <w:rtl w:val="0"/>
          </w:rPr>
          <w:t xml:space="preserve">Estatutos de la Cooperativa</w:t>
        </w:r>
      </w:hyperlink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D">
      <w:pPr>
        <w:shd w:fill="ffffff" w:val="clear"/>
        <w:spacing w:after="340" w:lineRule="auto"/>
        <w:ind w:left="-240" w:right="-24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5969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                                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inline distB="114300" distT="114300" distL="114300" distR="114300">
            <wp:extent cx="2286000" cy="9525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Montserrat" w:cs="Montserrat" w:eastAsia="Montserrat" w:hAnsi="Montserrat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google.com/maps/place/Escuela+De+Actores+De+Canarias+Sede+Tenerife/@28.4600676,-16.2805333,17z/data=!3m1!4b1!4m5!3m4!1s0xc41ccf27f2da789:0x9bf938e21e46598a!8m2!3d28.4600676!4d-16.2783446" TargetMode="External"/><Relationship Id="rId22" Type="http://schemas.openxmlformats.org/officeDocument/2006/relationships/hyperlink" Target="https://www.webeac.org/donde-estamos/" TargetMode="External"/><Relationship Id="rId21" Type="http://schemas.openxmlformats.org/officeDocument/2006/relationships/hyperlink" Target="https://www.google.com/maps/place/Escuela+De+Actores+De+Canarias+Sede+Tenerife/@28.4600676,-16.2805333,17z/data=!3m1!4b1!4m5!3m4!1s0xc41ccf27f2da789:0x9bf938e21e46598a!8m2!3d28.4600676!4d-16.2783446" TargetMode="External"/><Relationship Id="rId24" Type="http://schemas.openxmlformats.org/officeDocument/2006/relationships/hyperlink" Target="http://www.gobiernodecanarias.org/boc/1997/015/005.html" TargetMode="External"/><Relationship Id="rId23" Type="http://schemas.openxmlformats.org/officeDocument/2006/relationships/hyperlink" Target="https://www.webeac.org/wp-content/uploads/2014/10/ESTATUTOS-leibles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26" Type="http://schemas.openxmlformats.org/officeDocument/2006/relationships/hyperlink" Target="https://www.webeac.org/wp-content/uploads/2025/10/Memoria-EAC-Curso-2024-2025.pdf" TargetMode="External"/><Relationship Id="rId25" Type="http://schemas.openxmlformats.org/officeDocument/2006/relationships/hyperlink" Target="https://www.webeac.org/historia-de-la-eac/" TargetMode="External"/><Relationship Id="rId28" Type="http://schemas.openxmlformats.org/officeDocument/2006/relationships/hyperlink" Target="https://www.webeac.org/wp-content/uploads/2014/10/MEMORIA-CENTRO-2022-23.pdf" TargetMode="External"/><Relationship Id="rId27" Type="http://schemas.openxmlformats.org/officeDocument/2006/relationships/hyperlink" Target="https://www.webeac.org/wp-content/uploads/2024/09/MEMORIA-CENTRO-EAC-2023-24-.pdf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gobiernodecanarias.org/boc/2015/005/001.html" TargetMode="External"/><Relationship Id="rId29" Type="http://schemas.openxmlformats.org/officeDocument/2006/relationships/hyperlink" Target="https://www.webeac.org/wp-content/uploads/2014/10/MEMORIA-CENTRO-DEFINITIVA-2021-22.pdf" TargetMode="External"/><Relationship Id="rId7" Type="http://schemas.openxmlformats.org/officeDocument/2006/relationships/hyperlink" Target="https://www.boe.es/boe/dias/2013/12/10/pdfs/BOE-A-2013-12887.pdf" TargetMode="External"/><Relationship Id="rId8" Type="http://schemas.openxmlformats.org/officeDocument/2006/relationships/hyperlink" Target="https://transparenciacanarias.org/" TargetMode="External"/><Relationship Id="rId31" Type="http://schemas.openxmlformats.org/officeDocument/2006/relationships/image" Target="media/image3.jpg"/><Relationship Id="rId30" Type="http://schemas.openxmlformats.org/officeDocument/2006/relationships/hyperlink" Target="https://www.webeac.org/wp-content/uploads/2014/10/ESTATUTOS-leibles.pdf" TargetMode="External"/><Relationship Id="rId11" Type="http://schemas.openxmlformats.org/officeDocument/2006/relationships/hyperlink" Target="https://www.boe.es/buscar/act.php?id=BOE-A-2023-4513" TargetMode="External"/><Relationship Id="rId10" Type="http://schemas.openxmlformats.org/officeDocument/2006/relationships/hyperlink" Target="https://www.boe.es/buscar/pdf/2013/BOE-A-2013-12887-consolidado.pdf" TargetMode="External"/><Relationship Id="rId13" Type="http://schemas.openxmlformats.org/officeDocument/2006/relationships/hyperlink" Target="https://www.boe.es/buscar/doc.php?id=BOE-A-2015-1114" TargetMode="External"/><Relationship Id="rId12" Type="http://schemas.openxmlformats.org/officeDocument/2006/relationships/hyperlink" Target="https://www.boe.es/eli/es/lo/2018/12/05/3/dof/spa/pdf" TargetMode="External"/><Relationship Id="rId15" Type="http://schemas.openxmlformats.org/officeDocument/2006/relationships/hyperlink" Target="https://www.boe.es/buscar/act.php?id=BOE-A-1999-15681" TargetMode="External"/><Relationship Id="rId14" Type="http://schemas.openxmlformats.org/officeDocument/2006/relationships/hyperlink" Target="https://www.boe.es/buscar/act.php?id=BOE-A-2018-12699" TargetMode="External"/><Relationship Id="rId17" Type="http://schemas.openxmlformats.org/officeDocument/2006/relationships/hyperlink" Target="https://www.webeac.org/wp-content/uploads/2014/10/Protocolo-Transparencia.pdf" TargetMode="External"/><Relationship Id="rId16" Type="http://schemas.openxmlformats.org/officeDocument/2006/relationships/hyperlink" Target="https://www.webeac.org/wp-content/uploads/2014/10/BOE-A-2006-7899-consolidado.pdf" TargetMode="External"/><Relationship Id="rId19" Type="http://schemas.openxmlformats.org/officeDocument/2006/relationships/hyperlink" Target="https://www.google.com/maps/place/Escuela+De+Actores+De+Canarias+Sede+Tenerife/@28.4600676,-16.2805333,17z/data=!3m1!4b1!4m5!3m4!1s0xc41ccf27f2da789:0x9bf938e21e46598a!8m2!3d28.4600676!4d-16.2783446" TargetMode="External"/><Relationship Id="rId18" Type="http://schemas.openxmlformats.org/officeDocument/2006/relationships/hyperlink" Target="https://www.webeac.org/contacto-eac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